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FE6DFC">
              <w:t>BGRIA1HNLC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FE6DFC" w:rsidP="00FE6DFC">
            <w:pPr>
              <w:pStyle w:val="Cmsor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Levelező</w:t>
            </w:r>
            <w:r w:rsidR="00CB6E0A" w:rsidRPr="00FB11BB">
              <w:rPr>
                <w:sz w:val="22"/>
                <w:szCs w:val="22"/>
              </w:rPr>
              <w:t xml:space="preserve">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CB6E0A"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>.</w:t>
            </w:r>
            <w:r w:rsidR="00CB6E0A"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CB6E0A"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Mechatronikai 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FE6DFC">
              <w:rPr>
                <w:sz w:val="22"/>
                <w:szCs w:val="22"/>
              </w:rPr>
              <w:t>1</w:t>
            </w:r>
            <w:r w:rsidR="004D4CE4" w:rsidRPr="00FB11BB">
              <w:rPr>
                <w:sz w:val="22"/>
                <w:szCs w:val="22"/>
              </w:rPr>
              <w:t>2</w:t>
            </w:r>
            <w:r w:rsidR="00FE6DFC">
              <w:rPr>
                <w:sz w:val="22"/>
                <w:szCs w:val="22"/>
              </w:rPr>
              <w:t>/félév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Default="00DA55E1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informatika szerepe a  mérnöki munka során. Szempontok a </w:t>
            </w:r>
            <w:r w:rsidR="00462768" w:rsidRPr="00FB11BB">
              <w:rPr>
                <w:sz w:val="22"/>
                <w:szCs w:val="22"/>
              </w:rPr>
              <w:t xml:space="preserve">mérnöki munkához szükséges </w:t>
            </w:r>
            <w:r w:rsidRPr="00FB11BB">
              <w:rPr>
                <w:sz w:val="22"/>
                <w:szCs w:val="22"/>
              </w:rPr>
              <w:t>szoftver</w:t>
            </w:r>
            <w:r w:rsidR="00462768" w:rsidRPr="00FB11BB">
              <w:rPr>
                <w:sz w:val="22"/>
                <w:szCs w:val="22"/>
              </w:rPr>
              <w:t>ek</w:t>
            </w:r>
            <w:r w:rsidRPr="00FB11BB">
              <w:rPr>
                <w:sz w:val="22"/>
                <w:szCs w:val="22"/>
              </w:rPr>
              <w:t xml:space="preserve"> </w:t>
            </w:r>
            <w:r w:rsidR="00DF7550" w:rsidRPr="00FB11BB">
              <w:rPr>
                <w:sz w:val="22"/>
                <w:szCs w:val="22"/>
              </w:rPr>
              <w:t>és hardver</w:t>
            </w:r>
            <w:r w:rsidR="00462768" w:rsidRPr="00FB11BB">
              <w:rPr>
                <w:sz w:val="22"/>
                <w:szCs w:val="22"/>
              </w:rPr>
              <w:t>ek</w:t>
            </w:r>
            <w:r w:rsidR="00C42847" w:rsidRPr="00FB11BB">
              <w:rPr>
                <w:sz w:val="22"/>
                <w:szCs w:val="22"/>
              </w:rPr>
              <w:t xml:space="preserve"> kiválasztására</w:t>
            </w:r>
          </w:p>
          <w:p w:rsidR="00FE6DFC" w:rsidRPr="00FB11BB" w:rsidRDefault="00FE6DFC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fogalma, mennyisége. Információ megjelenítése digitális adathordozókon</w:t>
            </w:r>
            <w:r>
              <w:rPr>
                <w:sz w:val="22"/>
                <w:szCs w:val="22"/>
              </w:rPr>
              <w:t xml:space="preserve">. </w:t>
            </w:r>
            <w:r w:rsidRPr="00FB11BB">
              <w:rPr>
                <w:sz w:val="22"/>
                <w:szCs w:val="22"/>
              </w:rPr>
              <w:t xml:space="preserve"> Tárolás. Kettes számrendszer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FC" w:rsidRPr="00FB11BB" w:rsidRDefault="00FE6DFC" w:rsidP="00FE6DFC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kódolása. Bináris, oktális hexadecimális. BCD, ASCII Unicode</w:t>
            </w:r>
            <w:r w:rsidR="009A3EA9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Információ továbbítása.  Hibajavítás</w:t>
            </w:r>
            <w:r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Információ továbbítása Redundancia. Tömörítés. RAID.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FE6DFC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Operációs rendszerek.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Hálózati alapfogalmak. Internet, intranet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1BB">
              <w:rPr>
                <w:sz w:val="22"/>
                <w:szCs w:val="22"/>
              </w:rPr>
              <w:t>Wifi</w:t>
            </w:r>
            <w:proofErr w:type="spellEnd"/>
            <w:r w:rsidRPr="00FB11BB">
              <w:rPr>
                <w:sz w:val="22"/>
                <w:szCs w:val="22"/>
              </w:rPr>
              <w:t xml:space="preserve">  és mobil kommunikáció. Számítási felhő. </w:t>
            </w:r>
            <w:r w:rsidRPr="00FB11BB">
              <w:rPr>
                <w:rFonts w:eastAsia="Arial Unicode MS"/>
                <w:sz w:val="22"/>
                <w:szCs w:val="22"/>
              </w:rPr>
              <w:t>Információ megosztása.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FE6DFC" w:rsidP="00CF47AD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védelme. Titkosítás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rFonts w:eastAsia="Arial Unicode MS"/>
                <w:sz w:val="22"/>
                <w:szCs w:val="22"/>
              </w:rPr>
              <w:t>Levelezés</w:t>
            </w:r>
            <w:r>
              <w:rPr>
                <w:rFonts w:eastAsia="Arial Unicode MS"/>
                <w:sz w:val="22"/>
                <w:szCs w:val="22"/>
              </w:rPr>
              <w:t xml:space="preserve">. </w:t>
            </w:r>
            <w:r w:rsidRPr="00FB11BB">
              <w:rPr>
                <w:rFonts w:eastAsia="Arial Unicode MS"/>
                <w:sz w:val="22"/>
                <w:szCs w:val="22"/>
              </w:rPr>
              <w:t>Weblapok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 Közösségi hálózatok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Számítógépes kártevők. </w:t>
            </w:r>
            <w:proofErr w:type="spellStart"/>
            <w:r w:rsidRPr="00FB11BB">
              <w:rPr>
                <w:rFonts w:eastAsia="Arial Unicode MS"/>
                <w:sz w:val="22"/>
                <w:szCs w:val="22"/>
              </w:rPr>
              <w:t>Malware</w:t>
            </w:r>
            <w:proofErr w:type="spellEnd"/>
            <w:r w:rsidRPr="00FB11BB">
              <w:rPr>
                <w:sz w:val="22"/>
                <w:szCs w:val="22"/>
              </w:rPr>
              <w:t xml:space="preserve"> Tűzfalak. Biztonság az interneten.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FE6D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foglalkozásokon való részvételt a TVSZ III.23.§ (1)-(4) pontja szabályozza. </w:t>
            </w:r>
          </w:p>
          <w:p w:rsidR="004F08E4" w:rsidRPr="00FB11BB" w:rsidRDefault="0001668A" w:rsidP="004F08E4">
            <w:pPr>
              <w:rPr>
                <w:sz w:val="22"/>
                <w:szCs w:val="22"/>
              </w:rPr>
            </w:pPr>
            <w:r w:rsidRPr="00313701">
              <w:t>Letiltva bejegyzést kap az a hallgató, aki a megengedett mértéken felül hiányzik, és mulasztásait nem igazolja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zárthelyit legalá</w:t>
            </w:r>
            <w:r w:rsidR="00FE6DFC">
              <w:rPr>
                <w:sz w:val="22"/>
                <w:szCs w:val="22"/>
              </w:rPr>
              <w:t>bb elégségesre teljesítette</w:t>
            </w:r>
            <w:r w:rsidRPr="00FB11BB">
              <w:rPr>
                <w:sz w:val="22"/>
                <w:szCs w:val="22"/>
              </w:rPr>
              <w:t>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B11BB" w:rsidRDefault="00C42847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FB11BB"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A0302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1668A"/>
    <w:rsid w:val="00084239"/>
    <w:rsid w:val="000E723B"/>
    <w:rsid w:val="000F44BC"/>
    <w:rsid w:val="00151678"/>
    <w:rsid w:val="00274C3A"/>
    <w:rsid w:val="003248D5"/>
    <w:rsid w:val="003B2000"/>
    <w:rsid w:val="003B3B0A"/>
    <w:rsid w:val="003C6C8F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D3AAD"/>
    <w:rsid w:val="00702CAA"/>
    <w:rsid w:val="007B25D3"/>
    <w:rsid w:val="007D1E92"/>
    <w:rsid w:val="007E63AA"/>
    <w:rsid w:val="00813F6A"/>
    <w:rsid w:val="008375C9"/>
    <w:rsid w:val="00890151"/>
    <w:rsid w:val="008945D4"/>
    <w:rsid w:val="008A541B"/>
    <w:rsid w:val="00977461"/>
    <w:rsid w:val="00994944"/>
    <w:rsid w:val="009A0945"/>
    <w:rsid w:val="009A3EA9"/>
    <w:rsid w:val="009B4C18"/>
    <w:rsid w:val="009F5D19"/>
    <w:rsid w:val="00A15855"/>
    <w:rsid w:val="00A47D24"/>
    <w:rsid w:val="00A543BE"/>
    <w:rsid w:val="00A81EDA"/>
    <w:rsid w:val="00AD79A9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D160E"/>
    <w:rsid w:val="00DF7550"/>
    <w:rsid w:val="00E70681"/>
    <w:rsid w:val="00EA550C"/>
    <w:rsid w:val="00EC4CD3"/>
    <w:rsid w:val="00EC77FE"/>
    <w:rsid w:val="00EE6578"/>
    <w:rsid w:val="00F732AB"/>
    <w:rsid w:val="00FA6AAF"/>
    <w:rsid w:val="00FB11BB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3</cp:revision>
  <cp:lastPrinted>2011-06-06T09:15:00Z</cp:lastPrinted>
  <dcterms:created xsi:type="dcterms:W3CDTF">2011-07-06T13:53:00Z</dcterms:created>
  <dcterms:modified xsi:type="dcterms:W3CDTF">2011-07-06T14:07:00Z</dcterms:modified>
</cp:coreProperties>
</file>