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6A" w:rsidRPr="005B3A37" w:rsidRDefault="0003386A" w:rsidP="0003386A">
      <w:pPr>
        <w:tabs>
          <w:tab w:val="center" w:pos="1701"/>
          <w:tab w:val="center" w:pos="6804"/>
        </w:tabs>
      </w:pPr>
    </w:p>
    <w:tbl>
      <w:tblPr>
        <w:tblW w:w="9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142"/>
        <w:gridCol w:w="496"/>
        <w:gridCol w:w="781"/>
        <w:gridCol w:w="119"/>
        <w:gridCol w:w="1158"/>
        <w:gridCol w:w="140"/>
        <w:gridCol w:w="568"/>
        <w:gridCol w:w="285"/>
        <w:gridCol w:w="1843"/>
        <w:gridCol w:w="2072"/>
      </w:tblGrid>
      <w:tr w:rsidR="0003386A" w:rsidRPr="005B3A37" w:rsidTr="00BD7F85">
        <w:trPr>
          <w:cantSplit/>
          <w:trHeight w:val="448"/>
        </w:trPr>
        <w:tc>
          <w:tcPr>
            <w:tcW w:w="4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86A" w:rsidRPr="005B3A37" w:rsidRDefault="0003386A" w:rsidP="00BD7F85">
            <w:pPr>
              <w:pStyle w:val="Cmsor4"/>
              <w:rPr>
                <w:b w:val="0"/>
                <w:iCs/>
              </w:rPr>
            </w:pPr>
            <w:r w:rsidRPr="005B3A37">
              <w:rPr>
                <w:b w:val="0"/>
              </w:rPr>
              <w:t xml:space="preserve">Óbudai Egyetem </w:t>
            </w:r>
            <w:r w:rsidRPr="005B3A37">
              <w:rPr>
                <w:b w:val="0"/>
                <w:iCs/>
              </w:rPr>
              <w:t xml:space="preserve">Bánki Donát Gépész és Biztonságtechnikai Mérnöki Kar 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86A" w:rsidRPr="005B3A37" w:rsidRDefault="0003386A" w:rsidP="00BD7F85">
            <w:pPr>
              <w:pStyle w:val="Cmsor3"/>
              <w:jc w:val="center"/>
              <w:rPr>
                <w:i w:val="0"/>
                <w:iCs w:val="0"/>
              </w:rPr>
            </w:pPr>
            <w:r w:rsidRPr="005B3A37">
              <w:rPr>
                <w:i w:val="0"/>
                <w:iCs w:val="0"/>
              </w:rPr>
              <w:t>Mechatronikai és Autótechnikai Intézet</w:t>
            </w:r>
          </w:p>
        </w:tc>
      </w:tr>
      <w:tr w:rsidR="0003386A" w:rsidRPr="005B3A37" w:rsidTr="00BD7F85">
        <w:trPr>
          <w:cantSplit/>
          <w:trHeight w:val="508"/>
        </w:trPr>
        <w:tc>
          <w:tcPr>
            <w:tcW w:w="9376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386A" w:rsidRPr="005B3A37" w:rsidRDefault="0003386A" w:rsidP="00BD7F85">
            <w:pPr>
              <w:pStyle w:val="Cmsor1"/>
              <w:tabs>
                <w:tab w:val="left" w:pos="284"/>
                <w:tab w:val="left" w:pos="7655"/>
              </w:tabs>
              <w:jc w:val="left"/>
            </w:pPr>
            <w:bookmarkStart w:id="0" w:name="OLE_LINK2"/>
            <w:bookmarkStart w:id="1" w:name="OLE_LINK3"/>
            <w:r w:rsidRPr="005B3A37">
              <w:rPr>
                <w:i w:val="0"/>
              </w:rPr>
              <w:tab/>
              <w:t>Tantárgy címe és kódja</w:t>
            </w:r>
            <w:proofErr w:type="gramStart"/>
            <w:r w:rsidRPr="005B3A37">
              <w:rPr>
                <w:i w:val="0"/>
              </w:rPr>
              <w:t xml:space="preserve">:  </w:t>
            </w:r>
            <w:bookmarkStart w:id="2" w:name="_GoBack"/>
            <w:r w:rsidRPr="005B3A37">
              <w:rPr>
                <w:i w:val="0"/>
              </w:rPr>
              <w:t>Logisztikai</w:t>
            </w:r>
            <w:proofErr w:type="gramEnd"/>
            <w:r w:rsidRPr="005B3A37">
              <w:rPr>
                <w:i w:val="0"/>
              </w:rPr>
              <w:t xml:space="preserve"> alapismeretek  BGRLG15NLB</w:t>
            </w:r>
            <w:bookmarkEnd w:id="2"/>
          </w:p>
          <w:p w:rsidR="0003386A" w:rsidRPr="005B3A37" w:rsidRDefault="0003386A" w:rsidP="00BD7F85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ab/>
              <w:t>Kreditérték</w:t>
            </w:r>
            <w:r w:rsidRPr="005B3A37">
              <w:rPr>
                <w:bCs/>
                <w:i w:val="0"/>
              </w:rPr>
              <w:t>: 2</w:t>
            </w:r>
          </w:p>
          <w:p w:rsidR="0003386A" w:rsidRPr="005B3A37" w:rsidRDefault="0003386A" w:rsidP="00BD7F85">
            <w:pPr>
              <w:pStyle w:val="Cmsor1"/>
              <w:jc w:val="left"/>
              <w:rPr>
                <w:i w:val="0"/>
              </w:rPr>
            </w:pPr>
            <w:r w:rsidRPr="005B3A37">
              <w:rPr>
                <w:i w:val="0"/>
              </w:rPr>
              <w:t>Levelező tagozat</w:t>
            </w:r>
            <w:r w:rsidRPr="005B3A37">
              <w:rPr>
                <w:i w:val="0"/>
              </w:rPr>
              <w:tab/>
            </w:r>
            <w:r>
              <w:rPr>
                <w:i w:val="0"/>
              </w:rPr>
              <w:t xml:space="preserve"> </w:t>
            </w:r>
            <w:r w:rsidRPr="005B3A37">
              <w:rPr>
                <w:i w:val="0"/>
              </w:rPr>
              <w:t>201</w:t>
            </w:r>
            <w:r>
              <w:rPr>
                <w:i w:val="0"/>
              </w:rPr>
              <w:t>2</w:t>
            </w:r>
            <w:r w:rsidRPr="005B3A37">
              <w:rPr>
                <w:i w:val="0"/>
              </w:rPr>
              <w:t>/</w:t>
            </w:r>
            <w:proofErr w:type="gramStart"/>
            <w:r w:rsidRPr="005B3A37">
              <w:rPr>
                <w:i w:val="0"/>
              </w:rPr>
              <w:t>201</w:t>
            </w:r>
            <w:r>
              <w:rPr>
                <w:i w:val="0"/>
              </w:rPr>
              <w:t>3</w:t>
            </w:r>
            <w:r w:rsidRPr="005B3A37">
              <w:rPr>
                <w:i w:val="0"/>
              </w:rPr>
              <w:t xml:space="preserve"> .</w:t>
            </w:r>
            <w:proofErr w:type="gramEnd"/>
            <w:r w:rsidRPr="005B3A37">
              <w:rPr>
                <w:i w:val="0"/>
              </w:rPr>
              <w:t xml:space="preserve"> tanév I . félév </w:t>
            </w:r>
          </w:p>
        </w:tc>
      </w:tr>
      <w:tr w:rsidR="0003386A" w:rsidRPr="005B3A37" w:rsidTr="00BD7F85">
        <w:trPr>
          <w:cantSplit/>
          <w:trHeight w:val="254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r w:rsidRPr="005B3A37">
              <w:t>Szakok melyeken a tárgyat oktatják: gépész</w:t>
            </w:r>
          </w:p>
        </w:tc>
      </w:tr>
      <w:tr w:rsidR="0003386A" w:rsidRPr="005B3A37" w:rsidTr="00BD7F85">
        <w:trPr>
          <w:cantSplit/>
          <w:trHeight w:val="301"/>
        </w:trPr>
        <w:tc>
          <w:tcPr>
            <w:tcW w:w="2410" w:type="dxa"/>
            <w:gridSpan w:val="4"/>
            <w:vAlign w:val="center"/>
          </w:tcPr>
          <w:p w:rsidR="0003386A" w:rsidRPr="005B3A37" w:rsidRDefault="0003386A" w:rsidP="00BD7F85">
            <w:r w:rsidRPr="005B3A37">
              <w:t>Tantárgyfelelős oktató:</w:t>
            </w:r>
          </w:p>
        </w:tc>
        <w:tc>
          <w:tcPr>
            <w:tcW w:w="2058" w:type="dxa"/>
            <w:gridSpan w:val="3"/>
            <w:vAlign w:val="center"/>
          </w:tcPr>
          <w:p w:rsidR="0003386A" w:rsidRPr="005B3A37" w:rsidRDefault="0003386A" w:rsidP="00BD7F85">
            <w:pPr>
              <w:rPr>
                <w:bCs/>
              </w:rPr>
            </w:pPr>
            <w:r w:rsidRPr="005B3A37">
              <w:rPr>
                <w:bCs/>
              </w:rPr>
              <w:t>Lőrincz Katalin</w:t>
            </w:r>
          </w:p>
        </w:tc>
        <w:tc>
          <w:tcPr>
            <w:tcW w:w="993" w:type="dxa"/>
            <w:gridSpan w:val="3"/>
            <w:vAlign w:val="center"/>
          </w:tcPr>
          <w:p w:rsidR="0003386A" w:rsidRPr="005B3A37" w:rsidRDefault="0003386A" w:rsidP="00BD7F85">
            <w:r w:rsidRPr="005B3A37">
              <w:t>Oktatók:</w:t>
            </w:r>
          </w:p>
        </w:tc>
        <w:tc>
          <w:tcPr>
            <w:tcW w:w="3915" w:type="dxa"/>
            <w:gridSpan w:val="2"/>
            <w:vAlign w:val="center"/>
          </w:tcPr>
          <w:p w:rsidR="0003386A" w:rsidRPr="005B3A37" w:rsidRDefault="0003386A" w:rsidP="00BD7F85">
            <w:pPr>
              <w:rPr>
                <w:bCs/>
              </w:rPr>
            </w:pPr>
            <w:r w:rsidRPr="005B3A37">
              <w:rPr>
                <w:bCs/>
              </w:rPr>
              <w:t xml:space="preserve"> Lőrincz Katalin</w:t>
            </w:r>
          </w:p>
        </w:tc>
      </w:tr>
      <w:tr w:rsidR="0003386A" w:rsidRPr="005B3A37" w:rsidTr="00BD7F85">
        <w:trPr>
          <w:cantSplit/>
          <w:trHeight w:val="129"/>
        </w:trPr>
        <w:tc>
          <w:tcPr>
            <w:tcW w:w="3310" w:type="dxa"/>
            <w:gridSpan w:val="6"/>
            <w:vAlign w:val="center"/>
          </w:tcPr>
          <w:p w:rsidR="0003386A" w:rsidRPr="005B3A37" w:rsidRDefault="0003386A" w:rsidP="00BD7F85">
            <w:r w:rsidRPr="005B3A37">
              <w:t>Előtanulmányi feltételek (kóddal)</w:t>
            </w:r>
          </w:p>
        </w:tc>
        <w:tc>
          <w:tcPr>
            <w:tcW w:w="6066" w:type="dxa"/>
            <w:gridSpan w:val="6"/>
            <w:vAlign w:val="center"/>
          </w:tcPr>
          <w:p w:rsidR="0003386A" w:rsidRPr="005B3A37" w:rsidRDefault="0003386A" w:rsidP="00BD7F85">
            <w:pPr>
              <w:tabs>
                <w:tab w:val="left" w:pos="1580"/>
              </w:tabs>
              <w:autoSpaceDE/>
              <w:autoSpaceDN/>
              <w:ind w:left="80"/>
            </w:pPr>
            <w:r>
              <w:t>120 kredit</w:t>
            </w:r>
          </w:p>
        </w:tc>
      </w:tr>
      <w:tr w:rsidR="0003386A" w:rsidRPr="005B3A37" w:rsidTr="00BD7F85">
        <w:trPr>
          <w:cantSplit/>
          <w:trHeight w:val="294"/>
        </w:trPr>
        <w:tc>
          <w:tcPr>
            <w:tcW w:w="1772" w:type="dxa"/>
            <w:gridSpan w:val="2"/>
            <w:vAlign w:val="center"/>
          </w:tcPr>
          <w:p w:rsidR="0003386A" w:rsidRPr="005B3A37" w:rsidRDefault="0003386A" w:rsidP="00BD7F85">
            <w:r w:rsidRPr="005B3A37">
              <w:t>féléves óraszámok</w:t>
            </w:r>
          </w:p>
        </w:tc>
        <w:tc>
          <w:tcPr>
            <w:tcW w:w="1419" w:type="dxa"/>
            <w:gridSpan w:val="3"/>
            <w:vAlign w:val="center"/>
          </w:tcPr>
          <w:p w:rsidR="0003386A" w:rsidRPr="005B3A37" w:rsidRDefault="0003386A" w:rsidP="00BD7F85">
            <w:r w:rsidRPr="005B3A37">
              <w:t>Előadás</w:t>
            </w:r>
            <w:proofErr w:type="gramStart"/>
            <w:r w:rsidRPr="005B3A37">
              <w:t>:  12</w:t>
            </w:r>
            <w:proofErr w:type="gramEnd"/>
          </w:p>
        </w:tc>
        <w:tc>
          <w:tcPr>
            <w:tcW w:w="1985" w:type="dxa"/>
            <w:gridSpan w:val="4"/>
            <w:vAlign w:val="center"/>
          </w:tcPr>
          <w:p w:rsidR="0003386A" w:rsidRPr="005B3A37" w:rsidRDefault="0003386A" w:rsidP="00BD7F85">
            <w:pPr>
              <w:rPr>
                <w:bCs/>
              </w:rPr>
            </w:pPr>
            <w:r w:rsidRPr="005B3A37">
              <w:t xml:space="preserve">Tantermi </w:t>
            </w:r>
            <w:proofErr w:type="spellStart"/>
            <w:r w:rsidRPr="005B3A37">
              <w:t>gyak</w:t>
            </w:r>
            <w:proofErr w:type="spellEnd"/>
            <w:proofErr w:type="gramStart"/>
            <w:r w:rsidRPr="005B3A37">
              <w:t>.:</w:t>
            </w:r>
            <w:proofErr w:type="gramEnd"/>
            <w:r w:rsidRPr="005B3A37">
              <w:t xml:space="preserve"> 0 </w:t>
            </w:r>
          </w:p>
        </w:tc>
        <w:tc>
          <w:tcPr>
            <w:tcW w:w="2128" w:type="dxa"/>
            <w:gridSpan w:val="2"/>
            <w:vAlign w:val="center"/>
          </w:tcPr>
          <w:p w:rsidR="0003386A" w:rsidRPr="005B3A37" w:rsidRDefault="0003386A" w:rsidP="00BD7F85">
            <w:r w:rsidRPr="005B3A37">
              <w:t>Laborgyakorlat: 0</w:t>
            </w:r>
          </w:p>
        </w:tc>
        <w:tc>
          <w:tcPr>
            <w:tcW w:w="2072" w:type="dxa"/>
            <w:vAlign w:val="center"/>
          </w:tcPr>
          <w:p w:rsidR="0003386A" w:rsidRPr="005B3A37" w:rsidRDefault="0003386A" w:rsidP="00BD7F85">
            <w:r w:rsidRPr="005B3A37">
              <w:t xml:space="preserve">Konzultáció: </w:t>
            </w:r>
          </w:p>
        </w:tc>
      </w:tr>
      <w:tr w:rsidR="0003386A" w:rsidRPr="005B3A37" w:rsidTr="00BD7F85">
        <w:trPr>
          <w:cantSplit/>
          <w:trHeight w:val="330"/>
        </w:trPr>
        <w:tc>
          <w:tcPr>
            <w:tcW w:w="1772" w:type="dxa"/>
            <w:gridSpan w:val="2"/>
            <w:vAlign w:val="center"/>
          </w:tcPr>
          <w:p w:rsidR="0003386A" w:rsidRPr="005B3A37" w:rsidRDefault="0003386A" w:rsidP="00BD7F85">
            <w:r w:rsidRPr="005B3A37">
              <w:t>Félévzárás módja:</w:t>
            </w:r>
          </w:p>
        </w:tc>
        <w:tc>
          <w:tcPr>
            <w:tcW w:w="7604" w:type="dxa"/>
            <w:gridSpan w:val="10"/>
            <w:vAlign w:val="center"/>
          </w:tcPr>
          <w:p w:rsidR="0003386A" w:rsidRPr="005B3A37" w:rsidRDefault="0003386A" w:rsidP="00BD7F85">
            <w:pPr>
              <w:rPr>
                <w:bCs/>
              </w:rPr>
            </w:pPr>
            <w:r w:rsidRPr="005B3A37">
              <w:rPr>
                <w:bCs/>
              </w:rPr>
              <w:t>é</w:t>
            </w:r>
          </w:p>
        </w:tc>
      </w:tr>
      <w:tr w:rsidR="0003386A" w:rsidRPr="005B3A37" w:rsidTr="00BD7F85">
        <w:trPr>
          <w:cantSplit/>
          <w:trHeight w:val="224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pStyle w:val="Cmsor1"/>
              <w:rPr>
                <w:bCs/>
                <w:i w:val="0"/>
                <w:iCs w:val="0"/>
              </w:rPr>
            </w:pPr>
            <w:r w:rsidRPr="005B3A37">
              <w:rPr>
                <w:bCs/>
                <w:i w:val="0"/>
                <w:iCs w:val="0"/>
              </w:rPr>
              <w:t>A tananyag</w:t>
            </w:r>
          </w:p>
        </w:tc>
      </w:tr>
      <w:tr w:rsidR="0003386A" w:rsidRPr="005B3A37" w:rsidTr="00BD7F85">
        <w:trPr>
          <w:cantSplit/>
          <w:trHeight w:val="463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Cs/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Oktatási cél:</w:t>
            </w:r>
            <w:r w:rsidRPr="005B3A37">
              <w:rPr>
                <w:iCs/>
                <w:sz w:val="20"/>
                <w:szCs w:val="20"/>
              </w:rPr>
              <w:t xml:space="preserve"> megismertetni a hallgatókkal az alapvető logisztikai folyamatokat, különös tekintettel az ipari logisztikára</w:t>
            </w:r>
          </w:p>
        </w:tc>
      </w:tr>
      <w:tr w:rsidR="0003386A" w:rsidRPr="005B3A37" w:rsidTr="00BD7F85">
        <w:trPr>
          <w:cantSplit/>
          <w:trHeight w:val="282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jc w:val="center"/>
            </w:pPr>
            <w:r w:rsidRPr="005B3A37">
              <w:t>Ütemezés: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21" w:type="dxa"/>
            <w:vAlign w:val="center"/>
          </w:tcPr>
          <w:p w:rsidR="0003386A" w:rsidRPr="005B3A37" w:rsidRDefault="0003386A" w:rsidP="00BD7F85">
            <w:pPr>
              <w:ind w:left="340"/>
            </w:pPr>
            <w:proofErr w:type="spellStart"/>
            <w:r w:rsidRPr="005B3A37">
              <w:t>konz</w:t>
            </w:r>
            <w:proofErr w:type="spellEnd"/>
          </w:p>
        </w:tc>
        <w:tc>
          <w:tcPr>
            <w:tcW w:w="8455" w:type="dxa"/>
            <w:gridSpan w:val="11"/>
            <w:vAlign w:val="center"/>
          </w:tcPr>
          <w:p w:rsidR="0003386A" w:rsidRPr="005B3A37" w:rsidRDefault="0003386A" w:rsidP="00BD7F85">
            <w:pPr>
              <w:jc w:val="center"/>
            </w:pPr>
            <w:r w:rsidRPr="005B3A37">
              <w:t>Témakör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21" w:type="dxa"/>
            <w:vAlign w:val="center"/>
          </w:tcPr>
          <w:p w:rsidR="0003386A" w:rsidRPr="005B3A37" w:rsidRDefault="0003386A" w:rsidP="0003386A">
            <w:pPr>
              <w:numPr>
                <w:ilvl w:val="0"/>
                <w:numId w:val="1"/>
              </w:numPr>
              <w:tabs>
                <w:tab w:val="clear" w:pos="397"/>
              </w:tabs>
            </w:pPr>
          </w:p>
        </w:tc>
        <w:tc>
          <w:tcPr>
            <w:tcW w:w="8455" w:type="dxa"/>
            <w:gridSpan w:val="11"/>
            <w:vAlign w:val="center"/>
          </w:tcPr>
          <w:p w:rsidR="0003386A" w:rsidRPr="005B3A37" w:rsidRDefault="0003386A" w:rsidP="00BD7F85">
            <w:r w:rsidRPr="005B3A37">
              <w:t>A logisztika fogalma, feladata, területei, határai. Logisztikai rendszerek. A logisztikával kapcsolatban levő főbb tudományterületek. A logisztika nemzetgazdasági tagozódása. RST rendszerek. Vevői igények, vállalati stratégiai logisztikai célok. Vállalati logisztika.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21" w:type="dxa"/>
            <w:vAlign w:val="center"/>
          </w:tcPr>
          <w:p w:rsidR="0003386A" w:rsidRPr="005B3A37" w:rsidRDefault="0003386A" w:rsidP="0003386A">
            <w:pPr>
              <w:numPr>
                <w:ilvl w:val="0"/>
                <w:numId w:val="1"/>
              </w:numPr>
              <w:tabs>
                <w:tab w:val="clear" w:pos="397"/>
              </w:tabs>
            </w:pPr>
          </w:p>
        </w:tc>
        <w:tc>
          <w:tcPr>
            <w:tcW w:w="8455" w:type="dxa"/>
            <w:gridSpan w:val="11"/>
            <w:vAlign w:val="center"/>
          </w:tcPr>
          <w:p w:rsidR="0003386A" w:rsidRPr="005B3A37" w:rsidRDefault="0003386A" w:rsidP="00BD7F85">
            <w:r w:rsidRPr="005B3A37">
              <w:t>A termelési folyamattal kapcsolatos anyagmozgatási feladatok.  Az RST folyamatok vizsgálata, az előkészítés lépései. A felmérés módszerei, felmérendő adatok. Az anyagmozgatás tervezésének fázisai, a folyamatok tervezése. A tervezési fázisban és a tervek dokumentálásában alkalmazott grafikus megjelenítési formák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21" w:type="dxa"/>
            <w:vAlign w:val="center"/>
          </w:tcPr>
          <w:p w:rsidR="0003386A" w:rsidRPr="005B3A37" w:rsidRDefault="0003386A" w:rsidP="0003386A">
            <w:pPr>
              <w:numPr>
                <w:ilvl w:val="0"/>
                <w:numId w:val="1"/>
              </w:numPr>
              <w:tabs>
                <w:tab w:val="clear" w:pos="397"/>
              </w:tabs>
            </w:pPr>
            <w:r w:rsidRPr="005B3A37">
              <w:t>.</w:t>
            </w:r>
          </w:p>
        </w:tc>
        <w:tc>
          <w:tcPr>
            <w:tcW w:w="8455" w:type="dxa"/>
            <w:gridSpan w:val="11"/>
            <w:vAlign w:val="center"/>
          </w:tcPr>
          <w:p w:rsidR="0003386A" w:rsidRPr="005B3A37" w:rsidRDefault="0003386A" w:rsidP="00BD7F85">
            <w:proofErr w:type="spellStart"/>
            <w:r w:rsidRPr="005B3A37">
              <w:t>Egységrakományképzés</w:t>
            </w:r>
            <w:proofErr w:type="spellEnd"/>
            <w:r w:rsidRPr="005B3A37">
              <w:t>. Áruazonosítás</w:t>
            </w:r>
          </w:p>
          <w:p w:rsidR="0003386A" w:rsidRPr="005B3A37" w:rsidRDefault="0003386A" w:rsidP="00BD7F85">
            <w:proofErr w:type="spellStart"/>
            <w:r w:rsidRPr="005B3A37">
              <w:t>Raktártechnológia</w:t>
            </w:r>
            <w:proofErr w:type="spellEnd"/>
          </w:p>
        </w:tc>
      </w:tr>
      <w:tr w:rsidR="0003386A" w:rsidRPr="005B3A37" w:rsidTr="00BD7F85">
        <w:trPr>
          <w:cantSplit/>
          <w:trHeight w:val="277"/>
        </w:trPr>
        <w:tc>
          <w:tcPr>
            <w:tcW w:w="921" w:type="dxa"/>
            <w:vAlign w:val="center"/>
          </w:tcPr>
          <w:p w:rsidR="0003386A" w:rsidRPr="005B3A37" w:rsidRDefault="0003386A" w:rsidP="0003386A">
            <w:pPr>
              <w:numPr>
                <w:ilvl w:val="0"/>
                <w:numId w:val="1"/>
              </w:numPr>
              <w:tabs>
                <w:tab w:val="clear" w:pos="397"/>
              </w:tabs>
            </w:pPr>
          </w:p>
        </w:tc>
        <w:tc>
          <w:tcPr>
            <w:tcW w:w="8455" w:type="dxa"/>
            <w:gridSpan w:val="11"/>
            <w:vAlign w:val="center"/>
          </w:tcPr>
          <w:p w:rsidR="0003386A" w:rsidRPr="005B3A37" w:rsidRDefault="0003386A" w:rsidP="00BD7F85">
            <w:r w:rsidRPr="005B3A37">
              <w:t>Videó + Zárthelyi</w:t>
            </w:r>
          </w:p>
        </w:tc>
      </w:tr>
      <w:tr w:rsidR="0003386A" w:rsidRPr="005B3A37" w:rsidTr="00BD7F85">
        <w:trPr>
          <w:cantSplit/>
          <w:trHeight w:val="378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jc w:val="center"/>
            </w:pPr>
            <w:r w:rsidRPr="005B3A37">
              <w:rPr>
                <w:bCs/>
              </w:rPr>
              <w:t>Félévközi követelmények</w:t>
            </w:r>
            <w:r w:rsidRPr="005B3A37">
              <w:t xml:space="preserve"> </w:t>
            </w:r>
          </w:p>
          <w:p w:rsidR="0003386A" w:rsidRPr="005B3A37" w:rsidRDefault="0003386A" w:rsidP="00BD7F85">
            <w:pPr>
              <w:jc w:val="center"/>
            </w:pPr>
            <w:r w:rsidRPr="005B3A37">
              <w:rPr>
                <w:iCs/>
              </w:rPr>
              <w:t xml:space="preserve">(feladat, zh. dolgozat, esszé, </w:t>
            </w:r>
            <w:proofErr w:type="spellStart"/>
            <w:r w:rsidRPr="005B3A37">
              <w:rPr>
                <w:iCs/>
              </w:rPr>
              <w:t>stb</w:t>
            </w:r>
            <w:proofErr w:type="spellEnd"/>
            <w:r w:rsidRPr="005B3A37">
              <w:rPr>
                <w:iCs/>
              </w:rPr>
              <w:t>)</w:t>
            </w:r>
          </w:p>
        </w:tc>
      </w:tr>
      <w:tr w:rsidR="0003386A" w:rsidRPr="005B3A37" w:rsidTr="00BD7F85">
        <w:trPr>
          <w:cantSplit/>
          <w:trHeight w:val="411"/>
        </w:trPr>
        <w:tc>
          <w:tcPr>
            <w:tcW w:w="1914" w:type="dxa"/>
            <w:gridSpan w:val="3"/>
            <w:vAlign w:val="center"/>
          </w:tcPr>
          <w:p w:rsidR="0003386A" w:rsidRPr="005B3A37" w:rsidRDefault="0003386A" w:rsidP="00BD7F85">
            <w:pPr>
              <w:jc w:val="center"/>
            </w:pPr>
            <w:r w:rsidRPr="005B3A37">
              <w:t>Oktatási hét</w:t>
            </w:r>
          </w:p>
          <w:p w:rsidR="0003386A" w:rsidRPr="005B3A37" w:rsidRDefault="0003386A" w:rsidP="00BD7F85">
            <w:pPr>
              <w:jc w:val="center"/>
            </w:pPr>
            <w:r w:rsidRPr="005B3A37">
              <w:t>(konzultáció)</w:t>
            </w:r>
          </w:p>
        </w:tc>
        <w:tc>
          <w:tcPr>
            <w:tcW w:w="7462" w:type="dxa"/>
            <w:gridSpan w:val="9"/>
            <w:vAlign w:val="center"/>
          </w:tcPr>
          <w:p w:rsidR="0003386A" w:rsidRPr="005B3A37" w:rsidRDefault="0003386A" w:rsidP="00BD7F85">
            <w:pPr>
              <w:jc w:val="center"/>
            </w:pPr>
            <w:r w:rsidRPr="005B3A37">
              <w:t>Zárthelyik (részbeszámolók, stb.)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1914" w:type="dxa"/>
            <w:gridSpan w:val="3"/>
            <w:vAlign w:val="center"/>
          </w:tcPr>
          <w:p w:rsidR="0003386A" w:rsidRPr="005B3A37" w:rsidRDefault="0003386A" w:rsidP="00BD7F85">
            <w:pPr>
              <w:jc w:val="center"/>
            </w:pPr>
            <w:r w:rsidRPr="005B3A37">
              <w:t>4.</w:t>
            </w:r>
          </w:p>
        </w:tc>
        <w:tc>
          <w:tcPr>
            <w:tcW w:w="7462" w:type="dxa"/>
            <w:gridSpan w:val="9"/>
            <w:vAlign w:val="center"/>
          </w:tcPr>
          <w:p w:rsidR="0003386A" w:rsidRPr="005B3A37" w:rsidRDefault="0003386A" w:rsidP="00BD7F85">
            <w:pPr>
              <w:rPr>
                <w:bCs/>
              </w:rPr>
            </w:pPr>
            <w:r w:rsidRPr="005B3A37">
              <w:rPr>
                <w:bCs/>
              </w:rPr>
              <w:t>ZH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jc w:val="center"/>
              <w:rPr>
                <w:iCs/>
              </w:rPr>
            </w:pPr>
            <w:r w:rsidRPr="005B3A37">
              <w:rPr>
                <w:iCs/>
              </w:rPr>
              <w:t>Az értékelés, a lebonyolítás, a pótlás módja, a jegy kialakításának szempontjai</w:t>
            </w:r>
          </w:p>
        </w:tc>
      </w:tr>
      <w:tr w:rsidR="0003386A" w:rsidRPr="005B3A37" w:rsidTr="00BD7F85">
        <w:trPr>
          <w:cantSplit/>
          <w:trHeight w:val="308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 xml:space="preserve">A </w:t>
            </w:r>
            <w:proofErr w:type="gramStart"/>
            <w:r w:rsidRPr="005B3A37">
              <w:rPr>
                <w:sz w:val="20"/>
                <w:szCs w:val="20"/>
              </w:rPr>
              <w:t>ZH  írása</w:t>
            </w:r>
            <w:proofErr w:type="gramEnd"/>
            <w:r w:rsidRPr="005B3A37">
              <w:rPr>
                <w:sz w:val="20"/>
                <w:szCs w:val="20"/>
              </w:rPr>
              <w:t xml:space="preserve"> oktatási órán történik. A pótlási lehetőség a szorgalmi időszakban, órarenden kívül</w:t>
            </w:r>
            <w:r>
              <w:rPr>
                <w:sz w:val="20"/>
                <w:szCs w:val="20"/>
              </w:rPr>
              <w:t>.</w:t>
            </w:r>
          </w:p>
          <w:p w:rsidR="0003386A" w:rsidRPr="005B3A37" w:rsidRDefault="0003386A" w:rsidP="00BD7F85">
            <w:pPr>
              <w:jc w:val="both"/>
            </w:pPr>
            <w:r w:rsidRPr="005B3A37">
              <w:t xml:space="preserve">A foglalkozásokon való részvételt a TVSZ III.23.§ (1)-(4) pontja szabályozza. </w:t>
            </w:r>
          </w:p>
          <w:p w:rsidR="0003386A" w:rsidRPr="005B3A37" w:rsidRDefault="0003386A" w:rsidP="00BD7F85">
            <w:pPr>
              <w:jc w:val="both"/>
            </w:pPr>
          </w:p>
          <w:p w:rsidR="0003386A" w:rsidRPr="005B3A37" w:rsidRDefault="0003386A" w:rsidP="00BD7F85">
            <w:pPr>
              <w:jc w:val="both"/>
            </w:pPr>
            <w:r w:rsidRPr="005B3A37">
              <w:t xml:space="preserve">A </w:t>
            </w:r>
            <w:r w:rsidRPr="005B3A37">
              <w:rPr>
                <w:i/>
              </w:rPr>
              <w:t>szorgalmi időszakban</w:t>
            </w:r>
            <w:r w:rsidRPr="005B3A37">
              <w:t xml:space="preserve">, a fenti ütemezésben feltüntetett időpontokban és formában, az évközi jegy követelményeit </w:t>
            </w:r>
            <w:r w:rsidRPr="005B3A37">
              <w:rPr>
                <w:i/>
              </w:rPr>
              <w:t>pótolhatja</w:t>
            </w:r>
            <w:r w:rsidRPr="005B3A37">
              <w:t xml:space="preserve"> az a hallgató, aki a zárthelyi dolgozatát megírta, vagy igazoltan volt távol a számonkérésről.</w:t>
            </w:r>
          </w:p>
          <w:p w:rsidR="0003386A" w:rsidRPr="005B3A37" w:rsidRDefault="0003386A" w:rsidP="00BD7F85">
            <w:pPr>
              <w:jc w:val="both"/>
            </w:pPr>
          </w:p>
          <w:p w:rsidR="0003386A" w:rsidRPr="005B3A37" w:rsidRDefault="0003386A" w:rsidP="00BD7F85">
            <w:pPr>
              <w:jc w:val="both"/>
            </w:pPr>
            <w:r w:rsidRPr="005B3A37">
              <w:rPr>
                <w:i/>
              </w:rPr>
              <w:t>Letiltva</w:t>
            </w:r>
            <w:r w:rsidRPr="005B3A37">
              <w:t xml:space="preserve"> bejegyzést kap az a hallgató, aki sem a zárthelyi dolgozatot, sem annak pótlását nem írta meg.</w:t>
            </w:r>
          </w:p>
          <w:p w:rsidR="0003386A" w:rsidRPr="005B3A37" w:rsidRDefault="0003386A" w:rsidP="00BD7F85">
            <w:pPr>
              <w:jc w:val="both"/>
            </w:pPr>
          </w:p>
          <w:p w:rsidR="0003386A" w:rsidRPr="005B3A37" w:rsidRDefault="0003386A" w:rsidP="00BD7F85">
            <w:pPr>
              <w:jc w:val="both"/>
            </w:pPr>
            <w:proofErr w:type="gramStart"/>
            <w:r w:rsidRPr="005B3A37">
              <w:rPr>
                <w:i/>
                <w:u w:val="single"/>
              </w:rPr>
              <w:t>Elégtelen</w:t>
            </w:r>
            <w:r w:rsidRPr="005B3A37">
              <w:rPr>
                <w:i/>
              </w:rPr>
              <w:t xml:space="preserve"> </w:t>
            </w:r>
            <w:r w:rsidRPr="005B3A37">
              <w:t xml:space="preserve"> bejegyzést</w:t>
            </w:r>
            <w:proofErr w:type="gramEnd"/>
            <w:r w:rsidRPr="005B3A37">
              <w:t xml:space="preserve"> kap az a hallgató, akinél az eredmény nem éri el az elégséges szintet.</w:t>
            </w:r>
          </w:p>
          <w:p w:rsidR="0003386A" w:rsidRPr="005B3A37" w:rsidRDefault="0003386A" w:rsidP="00BD7F85">
            <w:pPr>
              <w:jc w:val="both"/>
            </w:pPr>
          </w:p>
          <w:p w:rsidR="0003386A" w:rsidRPr="005B3A37" w:rsidRDefault="0003386A" w:rsidP="00BD7F85">
            <w:pPr>
              <w:jc w:val="both"/>
            </w:pPr>
            <w:r w:rsidRPr="005B3A37">
              <w:t>Az évközi jegy/aláírás szorgalmi időszakon túli pótlásának módjáról a Tanulmányi Ügyrend III.6.1.(3)/III.6.2.(3) pontja rendelkezik.</w:t>
            </w:r>
          </w:p>
          <w:p w:rsidR="0003386A" w:rsidRPr="005B3A37" w:rsidRDefault="0003386A" w:rsidP="00BD7F8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5B3A37">
              <w:rPr>
                <w:sz w:val="20"/>
                <w:szCs w:val="20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jc w:val="center"/>
            </w:pPr>
            <w:r w:rsidRPr="005B3A37">
              <w:rPr>
                <w:bCs/>
              </w:rPr>
              <w:t>A félévzárás módja</w:t>
            </w:r>
            <w:r w:rsidRPr="005B3A37">
              <w:t xml:space="preserve"> </w:t>
            </w:r>
          </w:p>
        </w:tc>
      </w:tr>
      <w:tr w:rsidR="0003386A" w:rsidRPr="005B3A37" w:rsidTr="00BD7F85">
        <w:trPr>
          <w:cantSplit/>
          <w:trHeight w:val="268"/>
        </w:trPr>
        <w:tc>
          <w:tcPr>
            <w:tcW w:w="9376" w:type="dxa"/>
            <w:gridSpan w:val="12"/>
            <w:tcBorders>
              <w:bottom w:val="single" w:sz="4" w:space="0" w:color="auto"/>
            </w:tcBorders>
            <w:vAlign w:val="center"/>
          </w:tcPr>
          <w:p w:rsidR="0003386A" w:rsidRPr="005B3A37" w:rsidRDefault="0003386A" w:rsidP="00BD7F85">
            <w:r w:rsidRPr="005B3A37">
              <w:t>Félévközi jegy:  ZH írása alapján Elégséges szint: a pontszám 60%-</w:t>
            </w:r>
            <w:proofErr w:type="gramStart"/>
            <w:r w:rsidRPr="005B3A37">
              <w:t>a</w:t>
            </w:r>
            <w:proofErr w:type="gramEnd"/>
            <w:r w:rsidRPr="005B3A37">
              <w:t xml:space="preserve"> 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86A" w:rsidRPr="005B3A37" w:rsidRDefault="0003386A" w:rsidP="00BD7F85">
            <w:r w:rsidRPr="005B3A37">
              <w:rPr>
                <w:bCs/>
              </w:rPr>
              <w:t>Kötelező irodalom: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tcBorders>
              <w:top w:val="single" w:sz="4" w:space="0" w:color="auto"/>
            </w:tcBorders>
            <w:vAlign w:val="center"/>
          </w:tcPr>
          <w:p w:rsidR="0003386A" w:rsidRPr="005B3A37" w:rsidRDefault="0003386A" w:rsidP="00BD7F85">
            <w:pPr>
              <w:jc w:val="both"/>
            </w:pPr>
            <w:r w:rsidRPr="005B3A37">
              <w:t>Lőrincz Katalin: A logisztika alapjai, BMF BGK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rPr>
                <w:bCs/>
              </w:rPr>
            </w:pPr>
            <w:r w:rsidRPr="005B3A37">
              <w:rPr>
                <w:bCs/>
              </w:rPr>
              <w:t>Ajánlott irodalom: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tcBorders>
              <w:top w:val="single" w:sz="4" w:space="0" w:color="auto"/>
            </w:tcBorders>
            <w:vAlign w:val="center"/>
          </w:tcPr>
          <w:p w:rsidR="0003386A" w:rsidRPr="005B3A37" w:rsidRDefault="0003386A" w:rsidP="00BD7F85">
            <w:pPr>
              <w:jc w:val="both"/>
            </w:pPr>
            <w:r w:rsidRPr="005B3A37">
              <w:t xml:space="preserve">Dr. </w:t>
            </w:r>
            <w:proofErr w:type="spellStart"/>
            <w:r w:rsidRPr="005B3A37">
              <w:t>Prezenszki</w:t>
            </w:r>
            <w:proofErr w:type="spellEnd"/>
            <w:r w:rsidRPr="005B3A37">
              <w:t xml:space="preserve"> József szerk.. Logisztika I-II. BME Mérnöktovábbképző Intézet</w:t>
            </w:r>
          </w:p>
          <w:p w:rsidR="0003386A" w:rsidRPr="005B3A37" w:rsidRDefault="0003386A" w:rsidP="00BD7F85">
            <w:r w:rsidRPr="005B3A37">
              <w:t>Logisztikai évkönyvek, a Magyar Logisztikai Egyesület kiadványai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jc w:val="center"/>
              <w:rPr>
                <w:bCs/>
              </w:rPr>
            </w:pPr>
            <w:r w:rsidRPr="005B3A37">
              <w:rPr>
                <w:bCs/>
              </w:rPr>
              <w:t xml:space="preserve">Egyéb segédletek: 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r w:rsidRPr="005B3A37">
              <w:t xml:space="preserve">Elektronikus tananyag: </w:t>
            </w:r>
            <w:hyperlink r:id="rId6" w:history="1">
              <w:r w:rsidRPr="005B3A37">
                <w:rPr>
                  <w:rStyle w:val="Hiperhivatkozs"/>
                </w:rPr>
                <w:t>http://siva.banki.hu/jegyzetek/Logisztika</w:t>
              </w:r>
            </w:hyperlink>
            <w:r w:rsidRPr="005B3A37">
              <w:t xml:space="preserve">  </w:t>
            </w:r>
          </w:p>
        </w:tc>
      </w:tr>
      <w:tr w:rsidR="0003386A" w:rsidRPr="005B3A37" w:rsidTr="00BD7F85">
        <w:trPr>
          <w:cantSplit/>
          <w:trHeight w:val="277"/>
        </w:trPr>
        <w:tc>
          <w:tcPr>
            <w:tcW w:w="9376" w:type="dxa"/>
            <w:gridSpan w:val="12"/>
            <w:vAlign w:val="center"/>
          </w:tcPr>
          <w:p w:rsidR="0003386A" w:rsidRPr="005B3A37" w:rsidRDefault="0003386A" w:rsidP="00BD7F85">
            <w:pPr>
              <w:jc w:val="center"/>
              <w:rPr>
                <w:bCs/>
              </w:rPr>
            </w:pPr>
            <w:r w:rsidRPr="005B3A37">
              <w:rPr>
                <w:bCs/>
              </w:rPr>
              <w:t>A tárgy minőségbiztosítási módszerei:</w:t>
            </w:r>
          </w:p>
          <w:p w:rsidR="0003386A" w:rsidRPr="005B3A37" w:rsidRDefault="0003386A" w:rsidP="00BD7F85">
            <w:r w:rsidRPr="005B3A37">
              <w:t xml:space="preserve">A hallgatók a félév elején kiadott összefoglaló kérdések alapján készülnek a tárgy elsajátítására. A konzultációkon a fontosabb </w:t>
            </w:r>
            <w:proofErr w:type="gramStart"/>
            <w:r w:rsidRPr="005B3A37">
              <w:t>kérdések  megbeszélése</w:t>
            </w:r>
            <w:proofErr w:type="gramEnd"/>
            <w:r w:rsidRPr="005B3A37">
              <w:t xml:space="preserve"> és esettanulmányok ismertetése történik</w:t>
            </w:r>
          </w:p>
        </w:tc>
      </w:tr>
      <w:bookmarkEnd w:id="0"/>
      <w:bookmarkEnd w:id="1"/>
    </w:tbl>
    <w:p w:rsidR="000F31EA" w:rsidRDefault="000F31EA"/>
    <w:sectPr w:rsidR="000F31EA" w:rsidSect="002162AB">
      <w:footerReference w:type="default" r:id="rId7"/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11" w:rsidRPr="009C774F" w:rsidRDefault="0003386A" w:rsidP="009C774F">
    <w:pPr>
      <w:pStyle w:val="llb"/>
      <w:jc w:val="center"/>
      <w:rPr>
        <w:sz w:val="16"/>
        <w:szCs w:val="16"/>
      </w:rPr>
    </w:pPr>
    <w:r w:rsidRPr="009C774F">
      <w:rPr>
        <w:rStyle w:val="Oldalszm"/>
        <w:sz w:val="16"/>
        <w:szCs w:val="16"/>
      </w:rPr>
      <w:t xml:space="preserve">Lőrincz </w:t>
    </w:r>
    <w:proofErr w:type="gramStart"/>
    <w:r w:rsidRPr="009C774F">
      <w:rPr>
        <w:rStyle w:val="Oldalszm"/>
        <w:sz w:val="16"/>
        <w:szCs w:val="16"/>
      </w:rPr>
      <w:t xml:space="preserve">Katalin                                                          </w:t>
    </w:r>
    <w:r w:rsidRPr="009C774F">
      <w:rPr>
        <w:rStyle w:val="Oldalszm"/>
        <w:sz w:val="16"/>
        <w:szCs w:val="16"/>
      </w:rPr>
      <w:tab/>
    </w:r>
    <w:r w:rsidRPr="009C774F">
      <w:rPr>
        <w:rStyle w:val="Oldalszm"/>
        <w:sz w:val="16"/>
        <w:szCs w:val="16"/>
      </w:rPr>
      <w:tab/>
    </w:r>
    <w:proofErr w:type="gramEnd"/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PAGE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1</w:t>
    </w:r>
    <w:r w:rsidRPr="009C774F">
      <w:rPr>
        <w:rStyle w:val="Oldalszm"/>
        <w:sz w:val="22"/>
        <w:szCs w:val="22"/>
      </w:rPr>
      <w:fldChar w:fldCharType="end"/>
    </w:r>
    <w:r w:rsidRPr="009C774F">
      <w:rPr>
        <w:rStyle w:val="Oldalszm"/>
        <w:sz w:val="22"/>
        <w:szCs w:val="22"/>
      </w:rPr>
      <w:t>/</w:t>
    </w:r>
    <w:r w:rsidRPr="009C774F">
      <w:rPr>
        <w:rStyle w:val="Oldalszm"/>
        <w:sz w:val="22"/>
        <w:szCs w:val="22"/>
      </w:rPr>
      <w:fldChar w:fldCharType="begin"/>
    </w:r>
    <w:r w:rsidRPr="009C774F">
      <w:rPr>
        <w:rStyle w:val="Oldalszm"/>
        <w:sz w:val="22"/>
        <w:szCs w:val="22"/>
      </w:rPr>
      <w:instrText xml:space="preserve"> NUMPAGES </w:instrText>
    </w:r>
    <w:r w:rsidRPr="009C774F">
      <w:rPr>
        <w:rStyle w:val="Oldalszm"/>
        <w:sz w:val="22"/>
        <w:szCs w:val="22"/>
      </w:rPr>
      <w:fldChar w:fldCharType="separate"/>
    </w:r>
    <w:r>
      <w:rPr>
        <w:rStyle w:val="Oldalszm"/>
        <w:noProof/>
        <w:sz w:val="22"/>
        <w:szCs w:val="22"/>
      </w:rPr>
      <w:t>2</w:t>
    </w:r>
    <w:r w:rsidRPr="009C774F">
      <w:rPr>
        <w:rStyle w:val="Oldalszm"/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E3730"/>
    <w:multiLevelType w:val="hybridMultilevel"/>
    <w:tmpl w:val="BA0A87F8"/>
    <w:lvl w:ilvl="0" w:tplc="CEC297F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6A"/>
    <w:rsid w:val="00001C9D"/>
    <w:rsid w:val="00003F7B"/>
    <w:rsid w:val="00014B85"/>
    <w:rsid w:val="00022A41"/>
    <w:rsid w:val="000327B3"/>
    <w:rsid w:val="00033135"/>
    <w:rsid w:val="0003386A"/>
    <w:rsid w:val="0006575B"/>
    <w:rsid w:val="0006717A"/>
    <w:rsid w:val="00075A45"/>
    <w:rsid w:val="00082812"/>
    <w:rsid w:val="000A2604"/>
    <w:rsid w:val="000B3156"/>
    <w:rsid w:val="000B6C94"/>
    <w:rsid w:val="000C0F3C"/>
    <w:rsid w:val="000C3906"/>
    <w:rsid w:val="000D0945"/>
    <w:rsid w:val="000E7E4F"/>
    <w:rsid w:val="000F197C"/>
    <w:rsid w:val="000F31EA"/>
    <w:rsid w:val="000F7D8E"/>
    <w:rsid w:val="001041C2"/>
    <w:rsid w:val="0011169F"/>
    <w:rsid w:val="00112F8E"/>
    <w:rsid w:val="00115C28"/>
    <w:rsid w:val="00117369"/>
    <w:rsid w:val="00124C1E"/>
    <w:rsid w:val="0015053E"/>
    <w:rsid w:val="00153692"/>
    <w:rsid w:val="00154050"/>
    <w:rsid w:val="00157459"/>
    <w:rsid w:val="00170F4C"/>
    <w:rsid w:val="0017558F"/>
    <w:rsid w:val="0018218A"/>
    <w:rsid w:val="00191EB0"/>
    <w:rsid w:val="0019552B"/>
    <w:rsid w:val="001A0181"/>
    <w:rsid w:val="001A429E"/>
    <w:rsid w:val="001C215D"/>
    <w:rsid w:val="001C38CF"/>
    <w:rsid w:val="001C7828"/>
    <w:rsid w:val="001E1411"/>
    <w:rsid w:val="001F6DC5"/>
    <w:rsid w:val="00205B50"/>
    <w:rsid w:val="00211408"/>
    <w:rsid w:val="002125E0"/>
    <w:rsid w:val="002127BD"/>
    <w:rsid w:val="002146DC"/>
    <w:rsid w:val="002279D4"/>
    <w:rsid w:val="00231A4F"/>
    <w:rsid w:val="002409D8"/>
    <w:rsid w:val="002425C3"/>
    <w:rsid w:val="0024304C"/>
    <w:rsid w:val="00251935"/>
    <w:rsid w:val="0025336B"/>
    <w:rsid w:val="00277455"/>
    <w:rsid w:val="00280DAC"/>
    <w:rsid w:val="00292B39"/>
    <w:rsid w:val="002B0802"/>
    <w:rsid w:val="002B772A"/>
    <w:rsid w:val="002C0CA9"/>
    <w:rsid w:val="002E387E"/>
    <w:rsid w:val="002E5636"/>
    <w:rsid w:val="002E5D68"/>
    <w:rsid w:val="002E5FBC"/>
    <w:rsid w:val="00302256"/>
    <w:rsid w:val="00305403"/>
    <w:rsid w:val="003057AF"/>
    <w:rsid w:val="00307CF4"/>
    <w:rsid w:val="00316A55"/>
    <w:rsid w:val="003436C1"/>
    <w:rsid w:val="00363C61"/>
    <w:rsid w:val="00374C2F"/>
    <w:rsid w:val="00375323"/>
    <w:rsid w:val="003864C9"/>
    <w:rsid w:val="00395B50"/>
    <w:rsid w:val="003A04D3"/>
    <w:rsid w:val="003A5F9C"/>
    <w:rsid w:val="00401565"/>
    <w:rsid w:val="00407926"/>
    <w:rsid w:val="004539D7"/>
    <w:rsid w:val="004544BF"/>
    <w:rsid w:val="0049628D"/>
    <w:rsid w:val="004A4623"/>
    <w:rsid w:val="004A69EB"/>
    <w:rsid w:val="004D3D51"/>
    <w:rsid w:val="004F3E7A"/>
    <w:rsid w:val="004F4B9A"/>
    <w:rsid w:val="0050160C"/>
    <w:rsid w:val="005202F7"/>
    <w:rsid w:val="00522537"/>
    <w:rsid w:val="005254B7"/>
    <w:rsid w:val="005342CE"/>
    <w:rsid w:val="005357EB"/>
    <w:rsid w:val="005515BD"/>
    <w:rsid w:val="00553A68"/>
    <w:rsid w:val="00583015"/>
    <w:rsid w:val="00586AB7"/>
    <w:rsid w:val="00597537"/>
    <w:rsid w:val="005A01AE"/>
    <w:rsid w:val="005B003F"/>
    <w:rsid w:val="005B6288"/>
    <w:rsid w:val="005B67A8"/>
    <w:rsid w:val="005B7CCE"/>
    <w:rsid w:val="005E3A58"/>
    <w:rsid w:val="005E468D"/>
    <w:rsid w:val="006053D4"/>
    <w:rsid w:val="0062714E"/>
    <w:rsid w:val="00636837"/>
    <w:rsid w:val="00644BF4"/>
    <w:rsid w:val="0065382A"/>
    <w:rsid w:val="00665955"/>
    <w:rsid w:val="00695EC2"/>
    <w:rsid w:val="00697BC8"/>
    <w:rsid w:val="006A7592"/>
    <w:rsid w:val="006C4ABB"/>
    <w:rsid w:val="006C65F4"/>
    <w:rsid w:val="006C78B2"/>
    <w:rsid w:val="006D2779"/>
    <w:rsid w:val="006F20FC"/>
    <w:rsid w:val="0070115C"/>
    <w:rsid w:val="0070249E"/>
    <w:rsid w:val="007131AA"/>
    <w:rsid w:val="00716C7D"/>
    <w:rsid w:val="00717AC5"/>
    <w:rsid w:val="00742F67"/>
    <w:rsid w:val="00743DA2"/>
    <w:rsid w:val="00750E67"/>
    <w:rsid w:val="00757D8A"/>
    <w:rsid w:val="00765E2F"/>
    <w:rsid w:val="00767661"/>
    <w:rsid w:val="007729FF"/>
    <w:rsid w:val="00776248"/>
    <w:rsid w:val="0078006F"/>
    <w:rsid w:val="007835C7"/>
    <w:rsid w:val="007840B7"/>
    <w:rsid w:val="007A2122"/>
    <w:rsid w:val="007B75EF"/>
    <w:rsid w:val="007C32C5"/>
    <w:rsid w:val="007D105A"/>
    <w:rsid w:val="007E5CD3"/>
    <w:rsid w:val="007F483B"/>
    <w:rsid w:val="00800156"/>
    <w:rsid w:val="0081333A"/>
    <w:rsid w:val="008145EC"/>
    <w:rsid w:val="00821730"/>
    <w:rsid w:val="00825094"/>
    <w:rsid w:val="00847575"/>
    <w:rsid w:val="008579AB"/>
    <w:rsid w:val="00861F99"/>
    <w:rsid w:val="00870C93"/>
    <w:rsid w:val="008923D9"/>
    <w:rsid w:val="00895EF6"/>
    <w:rsid w:val="008B1311"/>
    <w:rsid w:val="008B4AFD"/>
    <w:rsid w:val="009022F5"/>
    <w:rsid w:val="00927679"/>
    <w:rsid w:val="00942B1D"/>
    <w:rsid w:val="00971D58"/>
    <w:rsid w:val="00993121"/>
    <w:rsid w:val="009953BB"/>
    <w:rsid w:val="009A2CDF"/>
    <w:rsid w:val="009A5EC1"/>
    <w:rsid w:val="009D197C"/>
    <w:rsid w:val="009E2831"/>
    <w:rsid w:val="009E40D4"/>
    <w:rsid w:val="009E7E51"/>
    <w:rsid w:val="009F05EA"/>
    <w:rsid w:val="009F0B97"/>
    <w:rsid w:val="009F0E50"/>
    <w:rsid w:val="00A07302"/>
    <w:rsid w:val="00A109AD"/>
    <w:rsid w:val="00A37F96"/>
    <w:rsid w:val="00A45B48"/>
    <w:rsid w:val="00A47746"/>
    <w:rsid w:val="00A813D0"/>
    <w:rsid w:val="00A82FA0"/>
    <w:rsid w:val="00A833BE"/>
    <w:rsid w:val="00AD7582"/>
    <w:rsid w:val="00AE39A4"/>
    <w:rsid w:val="00AF3308"/>
    <w:rsid w:val="00B1553B"/>
    <w:rsid w:val="00B166ED"/>
    <w:rsid w:val="00B21F73"/>
    <w:rsid w:val="00B22D4A"/>
    <w:rsid w:val="00B35B03"/>
    <w:rsid w:val="00B431C8"/>
    <w:rsid w:val="00B521A2"/>
    <w:rsid w:val="00B768E9"/>
    <w:rsid w:val="00B8342C"/>
    <w:rsid w:val="00B94B9E"/>
    <w:rsid w:val="00BA62EE"/>
    <w:rsid w:val="00BC445F"/>
    <w:rsid w:val="00BC77D1"/>
    <w:rsid w:val="00BE3E29"/>
    <w:rsid w:val="00BE568F"/>
    <w:rsid w:val="00BF191B"/>
    <w:rsid w:val="00BF2751"/>
    <w:rsid w:val="00BF2DAB"/>
    <w:rsid w:val="00C25866"/>
    <w:rsid w:val="00C3575B"/>
    <w:rsid w:val="00C41438"/>
    <w:rsid w:val="00C45C56"/>
    <w:rsid w:val="00C5795D"/>
    <w:rsid w:val="00C61CCC"/>
    <w:rsid w:val="00C971FB"/>
    <w:rsid w:val="00C976C5"/>
    <w:rsid w:val="00CA0104"/>
    <w:rsid w:val="00CB1172"/>
    <w:rsid w:val="00CB3434"/>
    <w:rsid w:val="00CB60FC"/>
    <w:rsid w:val="00CD5522"/>
    <w:rsid w:val="00CF039F"/>
    <w:rsid w:val="00CF427D"/>
    <w:rsid w:val="00D05043"/>
    <w:rsid w:val="00D24EAD"/>
    <w:rsid w:val="00D273AA"/>
    <w:rsid w:val="00D323C4"/>
    <w:rsid w:val="00D42CA7"/>
    <w:rsid w:val="00D4691E"/>
    <w:rsid w:val="00D47968"/>
    <w:rsid w:val="00D55D6A"/>
    <w:rsid w:val="00D62B80"/>
    <w:rsid w:val="00D62DEB"/>
    <w:rsid w:val="00D80735"/>
    <w:rsid w:val="00D92725"/>
    <w:rsid w:val="00D96C38"/>
    <w:rsid w:val="00DC3529"/>
    <w:rsid w:val="00DC5128"/>
    <w:rsid w:val="00DD75B0"/>
    <w:rsid w:val="00DF156F"/>
    <w:rsid w:val="00DF642A"/>
    <w:rsid w:val="00E20A5A"/>
    <w:rsid w:val="00E2103F"/>
    <w:rsid w:val="00E24503"/>
    <w:rsid w:val="00E31810"/>
    <w:rsid w:val="00E33AF6"/>
    <w:rsid w:val="00E54F5A"/>
    <w:rsid w:val="00E64239"/>
    <w:rsid w:val="00E76BA5"/>
    <w:rsid w:val="00E9599C"/>
    <w:rsid w:val="00EB3051"/>
    <w:rsid w:val="00EB5144"/>
    <w:rsid w:val="00EC2B87"/>
    <w:rsid w:val="00EC774A"/>
    <w:rsid w:val="00ED47D8"/>
    <w:rsid w:val="00ED48CE"/>
    <w:rsid w:val="00F1423B"/>
    <w:rsid w:val="00F215FD"/>
    <w:rsid w:val="00F92069"/>
    <w:rsid w:val="00FB3F2C"/>
    <w:rsid w:val="00FC5B8B"/>
    <w:rsid w:val="00FD3601"/>
    <w:rsid w:val="00FD3BDB"/>
    <w:rsid w:val="00FD4273"/>
    <w:rsid w:val="00FF2DB0"/>
    <w:rsid w:val="00FF56A0"/>
    <w:rsid w:val="00FF64E2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386A"/>
    <w:pPr>
      <w:autoSpaceDE w:val="0"/>
      <w:autoSpaceDN w:val="0"/>
    </w:pPr>
    <w:rPr>
      <w:rFonts w:eastAsia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3386A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03386A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03386A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3386A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3386A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3386A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03386A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03386A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03386A"/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3386A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0338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386A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0338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386A"/>
    <w:pPr>
      <w:autoSpaceDE w:val="0"/>
      <w:autoSpaceDN w:val="0"/>
    </w:pPr>
    <w:rPr>
      <w:rFonts w:eastAsia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03386A"/>
    <w:pPr>
      <w:keepNext/>
      <w:jc w:val="center"/>
      <w:outlineLvl w:val="0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03386A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03386A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03386A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03386A"/>
    <w:rPr>
      <w:rFonts w:eastAsia="Times New Roman" w:cs="Times New Roman"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03386A"/>
    <w:rPr>
      <w:rFonts w:eastAsia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1"/>
    <w:uiPriority w:val="99"/>
    <w:rsid w:val="0003386A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">
    <w:name w:val="Élőfej Char"/>
    <w:basedOn w:val="Bekezdsalapbettpusa"/>
    <w:uiPriority w:val="99"/>
    <w:semiHidden/>
    <w:rsid w:val="0003386A"/>
    <w:rPr>
      <w:rFonts w:eastAsia="Times New Roman" w:cs="Times New Roman"/>
      <w:sz w:val="20"/>
      <w:szCs w:val="20"/>
      <w:lang w:eastAsia="hu-HU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locked/>
    <w:rsid w:val="0003386A"/>
    <w:rPr>
      <w:rFonts w:eastAsia="Times New Roman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3386A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0338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386A"/>
    <w:rPr>
      <w:rFonts w:eastAsia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033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va.banki.hu/jegyzetek/Logiszt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Druida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Gábor</dc:creator>
  <cp:lastModifiedBy>Kiss Gábor</cp:lastModifiedBy>
  <cp:revision>1</cp:revision>
  <dcterms:created xsi:type="dcterms:W3CDTF">2012-09-11T21:27:00Z</dcterms:created>
  <dcterms:modified xsi:type="dcterms:W3CDTF">2012-09-11T21:27:00Z</dcterms:modified>
</cp:coreProperties>
</file>